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C05" w:rsidRPr="005B2C05" w:rsidRDefault="005B2C05" w:rsidP="005B2C05">
      <w:pPr>
        <w:shd w:val="clear" w:color="auto" w:fill="FFFFFF"/>
        <w:spacing w:before="300" w:after="300" w:line="315" w:lineRule="atLeast"/>
        <w:rPr>
          <w:rFonts w:ascii="Arial" w:eastAsia="Times New Roman" w:hAnsi="Arial" w:cs="Arial"/>
          <w:b/>
          <w:bCs/>
          <w:color w:val="333332"/>
          <w:spacing w:val="15"/>
          <w:sz w:val="28"/>
        </w:rPr>
      </w:pPr>
      <w:bookmarkStart w:id="0" w:name="_GoBack"/>
      <w:r w:rsidRPr="005B2C05">
        <w:rPr>
          <w:rFonts w:ascii="Arial" w:eastAsia="Times New Roman" w:hAnsi="Arial" w:cs="Arial"/>
          <w:b/>
          <w:bCs/>
          <w:color w:val="333332"/>
          <w:spacing w:val="15"/>
          <w:sz w:val="28"/>
        </w:rPr>
        <w:t>Stress Tests Show a Correlation between Credit Risk and Operational Risk at Banks</w:t>
      </w:r>
    </w:p>
    <w:bookmarkEnd w:id="0"/>
    <w:p w:rsid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The European Banking Authority (EBA) has set a new standard for transparency, </w:t>
      </w:r>
      <w:hyperlink r:id="rId5" w:tgtFrame="_blank" w:history="1">
        <w:r w:rsidRPr="005B2C05">
          <w:rPr>
            <w:rFonts w:ascii="Arial" w:eastAsia="Times New Roman" w:hAnsi="Arial" w:cs="Arial"/>
            <w:color w:val="00A2DD"/>
            <w:spacing w:val="15"/>
            <w:sz w:val="21"/>
            <w:szCs w:val="21"/>
          </w:rPr>
          <w:t>via releasing some 800,000 data points</w:t>
        </w:r>
      </w:hyperlink>
      <w:r w:rsidRPr="005B2C05">
        <w:rPr>
          <w:rFonts w:ascii="Arial" w:eastAsia="Times New Roman" w:hAnsi="Arial" w:cs="Arial"/>
          <w:color w:val="333332"/>
          <w:spacing w:val="15"/>
          <w:sz w:val="21"/>
          <w:szCs w:val="21"/>
        </w:rPr>
        <w:t> for the 51 banks that participated in its 2016 stress test. Undoubtedly, investors, analysts and academics will analyze the vast amount of data that has been released, and we should expect an equal level of disclosure from future stress testing exercises.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Through this data, it is possible to not only draw conclusions on individual banks but also to identify underlying trends that are important for risk management and go beyond the straightforward (but limited) monitoring of CET1 and leverage ratios.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In this article, we will point out two such trends: (1) the correlation between credit risk and operational risk; and (2) the adaptability of business models under stressed conditions. Unfortunately, we will also discover that EBA has limited some of the potential analysis options by design.</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Inputs and Outcomes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 xml:space="preserve">The EBA data can be structured around inputs and outcomes. Inputs contain simple identifiers such as year (2015, 2016, 2017, </w:t>
      </w:r>
      <w:proofErr w:type="gramStart"/>
      <w:r w:rsidRPr="005B2C05">
        <w:rPr>
          <w:rFonts w:ascii="Arial" w:eastAsia="Times New Roman" w:hAnsi="Arial" w:cs="Arial"/>
          <w:color w:val="333332"/>
          <w:spacing w:val="15"/>
          <w:sz w:val="21"/>
          <w:szCs w:val="21"/>
        </w:rPr>
        <w:t>2018</w:t>
      </w:r>
      <w:proofErr w:type="gramEnd"/>
      <w:r w:rsidRPr="005B2C05">
        <w:rPr>
          <w:rFonts w:ascii="Arial" w:eastAsia="Times New Roman" w:hAnsi="Arial" w:cs="Arial"/>
          <w:color w:val="333332"/>
          <w:spacing w:val="15"/>
          <w:sz w:val="21"/>
          <w:szCs w:val="21"/>
        </w:rPr>
        <w:t>), scenario (actuals, baseline stress), bank name and bank country. The outcomes can be divided across three categories: risk exposures, capitalization outcomes and business model outcomes.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The first category includes very specific data for the credit risk, since data is provided, e.g., for impairment rates per portfolio. This means that we have access to the impairment rates for, say, the retail mortgage portfolio of each participating bank.</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Capitalization outcomes have become a particular area of focus, and it is certainly important to understand CET1 and leverage ratios — especially for the 2018 stress scenario. </w:t>
      </w:r>
      <w:hyperlink r:id="rId6" w:anchor="!/risk-intelligence/detail/a1Z40000003CkjkEAC/eba-stress-test-shows-resilience-european-banks" w:tgtFrame="_blank" w:history="1">
        <w:r w:rsidRPr="005B2C05">
          <w:rPr>
            <w:rFonts w:ascii="Arial" w:eastAsia="Times New Roman" w:hAnsi="Arial" w:cs="Arial"/>
            <w:color w:val="00A2DD"/>
            <w:spacing w:val="15"/>
            <w:sz w:val="21"/>
            <w:szCs w:val="21"/>
          </w:rPr>
          <w:t>As we pointed out in our previous column, 43 out of the 51 banks are in the safe zone</w:t>
        </w:r>
      </w:hyperlink>
      <w:r w:rsidRPr="005B2C05">
        <w:rPr>
          <w:rFonts w:ascii="Arial" w:eastAsia="Times New Roman" w:hAnsi="Arial" w:cs="Arial"/>
          <w:color w:val="333332"/>
          <w:spacing w:val="15"/>
          <w:sz w:val="21"/>
          <w:szCs w:val="21"/>
        </w:rPr>
        <w:t>, in which the CET1 ratio is above 5.5% and the leverage rate is above 3%.</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However, the EBA data contains much more information, which allows for a broader vision on banks’ resilience than analysis of the capital ratios (alone) can provide.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Correlation between Credit Risk and Operational Risk</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lastRenderedPageBreak/>
        <w:t>If we focus on risk exposures rather than capitalization, we see a remarkable cross-sectional pattern when comparing levels of credit risk with those of operational risk. Indeed, they go hand-in-hand! The formal correlation coefficient is 89%, and the levels of credit risk and operational risk (for the stress scenario in 2018) are depicted below.</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Figure 1: Credit Risk Exposure vs. Operational Risk Exposure (</w:t>
      </w:r>
      <w:r w:rsidRPr="005B2C05">
        <w:rPr>
          <w:rFonts w:ascii="Arial" w:eastAsia="Times New Roman" w:hAnsi="Arial" w:cs="Arial"/>
          <w:color w:val="333332"/>
          <w:spacing w:val="15"/>
          <w:sz w:val="21"/>
          <w:szCs w:val="21"/>
        </w:rPr>
        <w:t>€</w:t>
      </w:r>
      <w:r w:rsidRPr="005B2C05">
        <w:rPr>
          <w:rFonts w:ascii="Arial" w:eastAsia="Times New Roman" w:hAnsi="Arial" w:cs="Arial"/>
          <w:b/>
          <w:bCs/>
          <w:color w:val="333332"/>
          <w:spacing w:val="15"/>
          <w:sz w:val="21"/>
          <w:szCs w:val="21"/>
        </w:rPr>
        <w:t>100 million)</w:t>
      </w:r>
    </w:p>
    <w:p w:rsidR="005B2C05" w:rsidRPr="005B2C05" w:rsidRDefault="005B2C05" w:rsidP="005B2C05">
      <w:pPr>
        <w:spacing w:after="0" w:line="240" w:lineRule="auto"/>
        <w:rPr>
          <w:rFonts w:ascii="Tahoma" w:eastAsia="Times New Roman" w:hAnsi="Tahoma" w:cs="Tahoma"/>
          <w:sz w:val="24"/>
          <w:szCs w:val="24"/>
        </w:rPr>
      </w:pPr>
      <w:r>
        <w:rPr>
          <w:rFonts w:ascii="Tahoma" w:eastAsia="Times New Roman" w:hAnsi="Tahoma" w:cs="Tahoma"/>
          <w:noProof/>
          <w:sz w:val="24"/>
          <w:szCs w:val="24"/>
        </w:rPr>
        <w:drawing>
          <wp:inline distT="0" distB="0" distL="0" distR="0">
            <wp:extent cx="5791200" cy="3478651"/>
            <wp:effectExtent l="0" t="0" r="0" b="7620"/>
            <wp:docPr id="4" name="Picture 4"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1200" cy="3478651"/>
                    </a:xfrm>
                    <a:prstGeom prst="rect">
                      <a:avLst/>
                    </a:prstGeom>
                    <a:noFill/>
                    <a:ln>
                      <a:noFill/>
                    </a:ln>
                  </pic:spPr>
                </pic:pic>
              </a:graphicData>
            </a:graphic>
          </wp:inline>
        </w:drawing>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Since operational risk and credit risk have very distinct definitions, this correlation is remarkable.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Operational risk includes conduct risk such as </w:t>
      </w:r>
      <w:proofErr w:type="spellStart"/>
      <w:r w:rsidRPr="005B2C05">
        <w:rPr>
          <w:rFonts w:ascii="Arial" w:eastAsia="Times New Roman" w:hAnsi="Arial" w:cs="Arial"/>
          <w:color w:val="333332"/>
          <w:spacing w:val="15"/>
          <w:sz w:val="21"/>
          <w:szCs w:val="21"/>
        </w:rPr>
        <w:fldChar w:fldCharType="begin"/>
      </w:r>
      <w:r w:rsidRPr="005B2C05">
        <w:rPr>
          <w:rFonts w:ascii="Arial" w:eastAsia="Times New Roman" w:hAnsi="Arial" w:cs="Arial"/>
          <w:color w:val="333332"/>
          <w:spacing w:val="15"/>
          <w:sz w:val="21"/>
          <w:szCs w:val="21"/>
        </w:rPr>
        <w:instrText xml:space="preserve"> HYPERLINK "http://www.investopedia.com/terms/m/misselling.asp" \t "_blank" </w:instrText>
      </w:r>
      <w:r w:rsidRPr="005B2C05">
        <w:rPr>
          <w:rFonts w:ascii="Arial" w:eastAsia="Times New Roman" w:hAnsi="Arial" w:cs="Arial"/>
          <w:color w:val="333332"/>
          <w:spacing w:val="15"/>
          <w:sz w:val="21"/>
          <w:szCs w:val="21"/>
        </w:rPr>
        <w:fldChar w:fldCharType="separate"/>
      </w:r>
      <w:r w:rsidRPr="005B2C05">
        <w:rPr>
          <w:rFonts w:ascii="Arial" w:eastAsia="Times New Roman" w:hAnsi="Arial" w:cs="Arial"/>
          <w:color w:val="00A2DD"/>
          <w:spacing w:val="15"/>
          <w:sz w:val="21"/>
          <w:szCs w:val="21"/>
        </w:rPr>
        <w:t>misselling</w:t>
      </w:r>
      <w:proofErr w:type="spellEnd"/>
      <w:r w:rsidRPr="005B2C05">
        <w:rPr>
          <w:rFonts w:ascii="Arial" w:eastAsia="Times New Roman" w:hAnsi="Arial" w:cs="Arial"/>
          <w:color w:val="333332"/>
          <w:spacing w:val="15"/>
          <w:sz w:val="21"/>
          <w:szCs w:val="21"/>
        </w:rPr>
        <w:fldChar w:fldCharType="end"/>
      </w:r>
      <w:r w:rsidRPr="005B2C05">
        <w:rPr>
          <w:rFonts w:ascii="Arial" w:eastAsia="Times New Roman" w:hAnsi="Arial" w:cs="Arial"/>
          <w:color w:val="333332"/>
          <w:spacing w:val="15"/>
          <w:sz w:val="21"/>
          <w:szCs w:val="21"/>
        </w:rPr>
        <w:t>, market manipulation and money laundering. Losses as a result of exposures for these types of risks are supposed to diversify well with credit losses. Therefore, it is strange that these two risk exposures are so highly correlated in the EBA’s sample of 51 banks.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 xml:space="preserve">The explanation might be that, rather than reflecting only the exposure, the gradual increase of operational risk is actually the outcome of the measurement process — i.e., the </w:t>
      </w:r>
      <w:proofErr w:type="gramStart"/>
      <w:r w:rsidRPr="005B2C05">
        <w:rPr>
          <w:rFonts w:ascii="Arial" w:eastAsia="Times New Roman" w:hAnsi="Arial" w:cs="Arial"/>
          <w:color w:val="333332"/>
          <w:spacing w:val="15"/>
          <w:sz w:val="21"/>
          <w:szCs w:val="21"/>
        </w:rPr>
        <w:t>increase of operational risk</w:t>
      </w:r>
      <w:proofErr w:type="gramEnd"/>
      <w:r w:rsidRPr="005B2C05">
        <w:rPr>
          <w:rFonts w:ascii="Arial" w:eastAsia="Times New Roman" w:hAnsi="Arial" w:cs="Arial"/>
          <w:color w:val="333332"/>
          <w:spacing w:val="15"/>
          <w:sz w:val="21"/>
          <w:szCs w:val="21"/>
        </w:rPr>
        <w:t xml:space="preserve"> exposure proportional to a size indicator.</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The operational risk/credit risk correlation is restricted to a cross-sectional analysis. If we calculate the </w:t>
      </w:r>
      <w:r w:rsidRPr="005B2C05">
        <w:rPr>
          <w:rFonts w:ascii="Arial" w:eastAsia="Times New Roman" w:hAnsi="Arial" w:cs="Arial"/>
          <w:i/>
          <w:iCs/>
          <w:color w:val="333332"/>
          <w:spacing w:val="15"/>
          <w:sz w:val="21"/>
          <w:szCs w:val="21"/>
        </w:rPr>
        <w:t>changes in time</w:t>
      </w:r>
      <w:r w:rsidRPr="005B2C05">
        <w:rPr>
          <w:rFonts w:ascii="Arial" w:eastAsia="Times New Roman" w:hAnsi="Arial" w:cs="Arial"/>
          <w:color w:val="333332"/>
          <w:spacing w:val="15"/>
          <w:sz w:val="21"/>
          <w:szCs w:val="21"/>
        </w:rPr>
        <w:t> of risk exposure of the 2018 stress scenario with respect to 2015 actuals, the correlation disappears, as seen in Figure 2 below.</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lastRenderedPageBreak/>
        <w:t>Figure 2: Change of Operational Risk Exposure vs. Change of Credit Risk Exposure*</w:t>
      </w:r>
    </w:p>
    <w:p w:rsidR="005B2C05" w:rsidRPr="005B2C05" w:rsidRDefault="005B2C05" w:rsidP="005B2C05">
      <w:pPr>
        <w:spacing w:after="0" w:line="240" w:lineRule="auto"/>
        <w:rPr>
          <w:rFonts w:ascii="Tahoma" w:eastAsia="Times New Roman" w:hAnsi="Tahoma" w:cs="Tahoma"/>
          <w:sz w:val="24"/>
          <w:szCs w:val="24"/>
        </w:rPr>
      </w:pPr>
      <w:r>
        <w:rPr>
          <w:rFonts w:ascii="Tahoma" w:eastAsia="Times New Roman" w:hAnsi="Tahoma" w:cs="Tahoma"/>
          <w:noProof/>
          <w:sz w:val="24"/>
          <w:szCs w:val="24"/>
        </w:rPr>
        <w:drawing>
          <wp:inline distT="0" distB="0" distL="0" distR="0">
            <wp:extent cx="6543675" cy="3726667"/>
            <wp:effectExtent l="0" t="0" r="0" b="7620"/>
            <wp:docPr id="3" name="Picture 3"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3675" cy="3726667"/>
                    </a:xfrm>
                    <a:prstGeom prst="rect">
                      <a:avLst/>
                    </a:prstGeom>
                    <a:noFill/>
                    <a:ln>
                      <a:noFill/>
                    </a:ln>
                  </pic:spPr>
                </pic:pic>
              </a:graphicData>
            </a:graphic>
          </wp:inline>
        </w:drawing>
      </w:r>
      <w:r w:rsidRPr="005B2C05">
        <w:rPr>
          <w:rFonts w:ascii="Tahoma" w:eastAsia="Times New Roman" w:hAnsi="Tahoma" w:cs="Tahoma"/>
          <w:sz w:val="24"/>
          <w:szCs w:val="24"/>
        </w:rPr>
        <w:t>*The Delta % is equal to the exposure 2018 stress minus exposure 2016 actual, divided by the exposure 2016 actual.</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Although there’s no (linear) correlation between credit risk delta and operational risk delta, there’s still a pattern in the picture. We see credit risk building up through the entire span of the x-axis, whereas the change in operational risk exposure is often zero (or otherwise below 2.5%).</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This means that credit risk and operational risk are not building up in the exact same way as the stress scenario unfolds. However, as we jump from bank to bank, we still see a cross-sectional situation for a fixed point in time (2018) in which operational risk exposure increases along the same rate as credit risk exposure.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Adaptation of the Business Model</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When we measure sustainability, we see that it has a broader reach than just solvency alone. For a long-term healthy outlook, a bank needs to be able to demonstrate solid profitability that continually builds on a viable and adaptive business model.</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 xml:space="preserve">Regression analysis shows that in the 2015 actual scenario, banks generated 44 cents of fee income for each euro of net interest income they earned. In the 2018 </w:t>
      </w:r>
      <w:r w:rsidRPr="005B2C05">
        <w:rPr>
          <w:rFonts w:ascii="Arial" w:eastAsia="Times New Roman" w:hAnsi="Arial" w:cs="Arial"/>
          <w:color w:val="333332"/>
          <w:spacing w:val="15"/>
          <w:sz w:val="21"/>
          <w:szCs w:val="21"/>
        </w:rPr>
        <w:lastRenderedPageBreak/>
        <w:t>stress scenario, in which banks generated 54 cents of fee income for each euro of net interest income earned, that number is substantially higher.</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Figure 3: Fee Income and Net Interest Income — 2016 Actuals, 2018 Baseline and 2018 Stress</w:t>
      </w:r>
    </w:p>
    <w:p w:rsidR="005B2C05" w:rsidRPr="005B2C05" w:rsidRDefault="005B2C05" w:rsidP="005B2C05">
      <w:pPr>
        <w:spacing w:after="0" w:line="240" w:lineRule="auto"/>
        <w:rPr>
          <w:rFonts w:ascii="Tahoma" w:eastAsia="Times New Roman" w:hAnsi="Tahoma" w:cs="Tahoma"/>
          <w:sz w:val="24"/>
          <w:szCs w:val="24"/>
        </w:rPr>
      </w:pPr>
      <w:r>
        <w:rPr>
          <w:rFonts w:ascii="Tahoma" w:eastAsia="Times New Roman" w:hAnsi="Tahoma" w:cs="Tahoma"/>
          <w:noProof/>
          <w:sz w:val="24"/>
          <w:szCs w:val="24"/>
        </w:rPr>
        <w:drawing>
          <wp:inline distT="0" distB="0" distL="0" distR="0">
            <wp:extent cx="5133974" cy="3166864"/>
            <wp:effectExtent l="0" t="0" r="0" b="0"/>
            <wp:docPr id="2" name="Picture 2"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4" cy="3166864"/>
                    </a:xfrm>
                    <a:prstGeom prst="rect">
                      <a:avLst/>
                    </a:prstGeom>
                    <a:noFill/>
                    <a:ln>
                      <a:noFill/>
                    </a:ln>
                  </pic:spPr>
                </pic:pic>
              </a:graphicData>
            </a:graphic>
          </wp:inline>
        </w:drawing>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This, of course, is the big question: Does the extra fee income substitute for net interest income that is lost within the stress scenario, or is the extra fee income only a result of a deterioration of the net interest income?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 xml:space="preserve">We tackle this question by first establishing that a regression line always runs through the (x-mean, y-mean) point. For our three regression lines, these (x-mean, y-mean) points are indicated by circles on the regression lines. With the help of the black line, we indicate an </w:t>
      </w:r>
      <w:proofErr w:type="spellStart"/>
      <w:r w:rsidRPr="005B2C05">
        <w:rPr>
          <w:rFonts w:ascii="Arial" w:eastAsia="Times New Roman" w:hAnsi="Arial" w:cs="Arial"/>
          <w:color w:val="333332"/>
          <w:spacing w:val="15"/>
          <w:sz w:val="21"/>
          <w:szCs w:val="21"/>
        </w:rPr>
        <w:t>iso</w:t>
      </w:r>
      <w:proofErr w:type="spellEnd"/>
      <w:r w:rsidRPr="005B2C05">
        <w:rPr>
          <w:rFonts w:ascii="Arial" w:eastAsia="Times New Roman" w:hAnsi="Arial" w:cs="Arial"/>
          <w:color w:val="333332"/>
          <w:spacing w:val="15"/>
          <w:sz w:val="21"/>
          <w:szCs w:val="21"/>
        </w:rPr>
        <w:t>-profit line. For each point on this line, the sum of net interest income and fee income is the same — equal to the 2015 actual level.</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 xml:space="preserve">We then establish that the green and blue circles are below the </w:t>
      </w:r>
      <w:proofErr w:type="spellStart"/>
      <w:r w:rsidRPr="005B2C05">
        <w:rPr>
          <w:rFonts w:ascii="Arial" w:eastAsia="Times New Roman" w:hAnsi="Arial" w:cs="Arial"/>
          <w:color w:val="333332"/>
          <w:spacing w:val="15"/>
          <w:sz w:val="21"/>
          <w:szCs w:val="21"/>
        </w:rPr>
        <w:t>iso</w:t>
      </w:r>
      <w:proofErr w:type="spellEnd"/>
      <w:r w:rsidRPr="005B2C05">
        <w:rPr>
          <w:rFonts w:ascii="Arial" w:eastAsia="Times New Roman" w:hAnsi="Arial" w:cs="Arial"/>
          <w:color w:val="333332"/>
          <w:spacing w:val="15"/>
          <w:sz w:val="21"/>
          <w:szCs w:val="21"/>
        </w:rPr>
        <w:t>-profit line and on a leftward, horizontal track, clearly indicating less net interest income and stable fee income.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The unfortunate conclusion is that, in the EBA stress test, fee income does not compensate for net interest income that is lost in the stress scenario. Since fee income had to be kept constant in the stress outcomes for 2016, 2017 and 2018, this does not come as a surprise. Again, the outcome is a reflection of the measurement process.</w:t>
      </w:r>
    </w:p>
    <w:tbl>
      <w:tblPr>
        <w:tblpPr w:leftFromText="45" w:rightFromText="270" w:vertAnchor="text"/>
        <w:tblW w:w="3450" w:type="dxa"/>
        <w:shd w:val="clear" w:color="auto" w:fill="FFFFFF"/>
        <w:tblCellMar>
          <w:left w:w="0" w:type="dxa"/>
          <w:right w:w="0" w:type="dxa"/>
        </w:tblCellMar>
        <w:tblLook w:val="04A0" w:firstRow="1" w:lastRow="0" w:firstColumn="1" w:lastColumn="0" w:noHBand="0" w:noVBand="1"/>
      </w:tblPr>
      <w:tblGrid>
        <w:gridCol w:w="3450"/>
      </w:tblGrid>
      <w:tr w:rsidR="005B2C05" w:rsidRPr="005B2C05" w:rsidTr="005B2C05">
        <w:tc>
          <w:tcPr>
            <w:tcW w:w="0" w:type="auto"/>
            <w:shd w:val="clear" w:color="auto" w:fill="FFFFFF"/>
            <w:vAlign w:val="center"/>
            <w:hideMark/>
          </w:tcPr>
          <w:p w:rsidR="005B2C05" w:rsidRPr="005B2C05" w:rsidRDefault="005B2C05" w:rsidP="005B2C05">
            <w:pPr>
              <w:spacing w:after="0" w:line="315" w:lineRule="atLeast"/>
              <w:rPr>
                <w:rFonts w:ascii="Arial" w:eastAsia="Times New Roman" w:hAnsi="Arial" w:cs="Arial"/>
                <w:color w:val="333332"/>
                <w:spacing w:val="15"/>
                <w:sz w:val="21"/>
                <w:szCs w:val="21"/>
              </w:rPr>
            </w:pPr>
            <w:r>
              <w:rPr>
                <w:rFonts w:ascii="Arial" w:eastAsia="Times New Roman" w:hAnsi="Arial" w:cs="Arial"/>
                <w:noProof/>
                <w:color w:val="333332"/>
                <w:spacing w:val="15"/>
                <w:sz w:val="21"/>
                <w:szCs w:val="21"/>
              </w:rPr>
              <w:lastRenderedPageBreak/>
              <w:drawing>
                <wp:inline distT="0" distB="0" distL="0" distR="0">
                  <wp:extent cx="2190750" cy="2847975"/>
                  <wp:effectExtent l="0" t="0" r="0" b="9525"/>
                  <wp:docPr id="1" name="Picture 1" descr="Marco Folp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rco Folpmer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2847975"/>
                          </a:xfrm>
                          <a:prstGeom prst="rect">
                            <a:avLst/>
                          </a:prstGeom>
                          <a:noFill/>
                          <a:ln>
                            <a:noFill/>
                          </a:ln>
                        </pic:spPr>
                      </pic:pic>
                    </a:graphicData>
                  </a:graphic>
                </wp:inline>
              </w:drawing>
            </w:r>
          </w:p>
        </w:tc>
      </w:tr>
      <w:tr w:rsidR="005B2C05" w:rsidRPr="005B2C05" w:rsidTr="005B2C05">
        <w:tc>
          <w:tcPr>
            <w:tcW w:w="0" w:type="auto"/>
            <w:shd w:val="clear" w:color="auto" w:fill="FFFFFF"/>
            <w:vAlign w:val="center"/>
            <w:hideMark/>
          </w:tcPr>
          <w:p w:rsidR="005B2C05" w:rsidRPr="005B2C05" w:rsidRDefault="005B2C05" w:rsidP="005B2C05">
            <w:pPr>
              <w:spacing w:after="0" w:line="315" w:lineRule="atLeast"/>
              <w:rPr>
                <w:rFonts w:ascii="Arial" w:eastAsia="Times New Roman" w:hAnsi="Arial" w:cs="Arial"/>
                <w:color w:val="333332"/>
                <w:spacing w:val="15"/>
                <w:sz w:val="21"/>
                <w:szCs w:val="21"/>
              </w:rPr>
            </w:pPr>
            <w:r w:rsidRPr="005B2C05">
              <w:rPr>
                <w:rFonts w:ascii="Arial" w:eastAsia="Times New Roman" w:hAnsi="Arial" w:cs="Arial"/>
                <w:i/>
                <w:iCs/>
                <w:color w:val="9DA7AE"/>
                <w:spacing w:val="15"/>
                <w:sz w:val="18"/>
                <w:szCs w:val="18"/>
              </w:rPr>
              <w:t xml:space="preserve">Marco </w:t>
            </w:r>
            <w:proofErr w:type="spellStart"/>
            <w:r w:rsidRPr="005B2C05">
              <w:rPr>
                <w:rFonts w:ascii="Arial" w:eastAsia="Times New Roman" w:hAnsi="Arial" w:cs="Arial"/>
                <w:i/>
                <w:iCs/>
                <w:color w:val="9DA7AE"/>
                <w:spacing w:val="15"/>
                <w:sz w:val="18"/>
                <w:szCs w:val="18"/>
              </w:rPr>
              <w:t>Folpmers</w:t>
            </w:r>
            <w:proofErr w:type="spellEnd"/>
            <w:r w:rsidRPr="005B2C05">
              <w:rPr>
                <w:rFonts w:ascii="Arial" w:eastAsia="Times New Roman" w:hAnsi="Arial" w:cs="Arial"/>
                <w:i/>
                <w:iCs/>
                <w:color w:val="9DA7AE"/>
                <w:spacing w:val="15"/>
                <w:sz w:val="18"/>
                <w:szCs w:val="18"/>
              </w:rPr>
              <w:t xml:space="preserve"> (FRM) is a managing director of finance and risk at Accenture. He is also a professor of financial risk management at Tilburg University.</w:t>
            </w:r>
          </w:p>
        </w:tc>
      </w:tr>
    </w:tbl>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This is a severe limitation of the 2016 EBA stress test in which adaptability — with respect to business mix, balance sheet composition and fee income — was heavily restricted. Hopefully, future stress testing outcomes will provide a better reflection of stress, both before and after mitigating actions.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b/>
          <w:bCs/>
          <w:color w:val="333332"/>
          <w:spacing w:val="15"/>
          <w:sz w:val="21"/>
          <w:szCs w:val="21"/>
        </w:rPr>
        <w:t>Banks are not Chameleons … but Need to be More Adaptable</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The risk exposure analysis shows that credit risk and operational risk exposures increase simultaneously across banks in a cross-sectional analysis. This is a remarkable outcome and not a favorable one, since it decreases diversification potential. (However, if the outcome is a result of the stress testing measurement process, it clearly shows the deficiency of that process.)</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While the EBA results do not allow us to assess how easily a bank can change its business model according to what’s needed in a stress situation, we can clearly see that the average bank is not a chameleon — yet, at least.</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For both the future design of stress tests and the evaluation of stress testing results, we recommend the enhancement of frameworks</w:t>
      </w:r>
      <w:r w:rsidRPr="005B2C05">
        <w:rPr>
          <w:rFonts w:ascii="Arial" w:eastAsia="Times New Roman" w:hAnsi="Arial" w:cs="Arial"/>
          <w:b/>
          <w:bCs/>
          <w:color w:val="333332"/>
          <w:spacing w:val="15"/>
          <w:sz w:val="21"/>
          <w:szCs w:val="21"/>
        </w:rPr>
        <w:t>.</w:t>
      </w:r>
      <w:r w:rsidRPr="005B2C05">
        <w:rPr>
          <w:rFonts w:ascii="Arial" w:eastAsia="Times New Roman" w:hAnsi="Arial" w:cs="Arial"/>
          <w:color w:val="333332"/>
          <w:spacing w:val="15"/>
          <w:sz w:val="21"/>
          <w:szCs w:val="21"/>
        </w:rPr>
        <w:t> Capitalization ratios certainly need to be assessed effectively, but we also need to apply a broader definition of sustainability — one that factors in risk exposures, diversification/concentration and the adaptability of a bank’s business model.</w:t>
      </w:r>
    </w:p>
    <w:p w:rsidR="005B2C05" w:rsidRPr="005B2C05" w:rsidRDefault="005B2C05" w:rsidP="005B2C05">
      <w:pPr>
        <w:shd w:val="clear" w:color="auto" w:fill="FFFFFF"/>
        <w:spacing w:before="300" w:after="300" w:line="315" w:lineRule="atLeast"/>
        <w:rPr>
          <w:rFonts w:ascii="Arial" w:eastAsia="Times New Roman" w:hAnsi="Arial" w:cs="Arial"/>
          <w:color w:val="333332"/>
          <w:spacing w:val="15"/>
          <w:sz w:val="21"/>
          <w:szCs w:val="21"/>
        </w:rPr>
      </w:pPr>
      <w:r w:rsidRPr="005B2C05">
        <w:rPr>
          <w:rFonts w:ascii="Arial" w:eastAsia="Times New Roman" w:hAnsi="Arial" w:cs="Arial"/>
          <w:color w:val="333332"/>
          <w:spacing w:val="15"/>
          <w:sz w:val="21"/>
          <w:szCs w:val="21"/>
        </w:rPr>
        <w:t>Even with all of the analytical tools and the 800K of data that is now available, we shouldn’t forget some basic principles. One of these is that financial risk management is not that different from biology, which teaches us that survival is conditional on adaptability.</w:t>
      </w:r>
    </w:p>
    <w:p w:rsidR="00761ACE" w:rsidRDefault="00761ACE"/>
    <w:sectPr w:rsidR="00761A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C05"/>
    <w:rsid w:val="005B2C05"/>
    <w:rsid w:val="00761A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2C05"/>
    <w:pPr>
      <w:spacing w:before="100" w:beforeAutospacing="1" w:after="100" w:afterAutospacing="1" w:line="240" w:lineRule="auto"/>
    </w:pPr>
    <w:rPr>
      <w:rFonts w:ascii="Tahoma" w:eastAsia="Times New Roman" w:hAnsi="Tahoma" w:cs="Tahoma"/>
      <w:sz w:val="24"/>
      <w:szCs w:val="24"/>
    </w:rPr>
  </w:style>
  <w:style w:type="character" w:customStyle="1" w:styleId="apple-converted-space">
    <w:name w:val="apple-converted-space"/>
    <w:basedOn w:val="DefaultParagraphFont"/>
    <w:rsid w:val="005B2C05"/>
  </w:style>
  <w:style w:type="character" w:styleId="Hyperlink">
    <w:name w:val="Hyperlink"/>
    <w:basedOn w:val="DefaultParagraphFont"/>
    <w:uiPriority w:val="99"/>
    <w:semiHidden/>
    <w:unhideWhenUsed/>
    <w:rsid w:val="005B2C05"/>
    <w:rPr>
      <w:color w:val="0000FF"/>
      <w:u w:val="single"/>
    </w:rPr>
  </w:style>
  <w:style w:type="character" w:styleId="Strong">
    <w:name w:val="Strong"/>
    <w:basedOn w:val="DefaultParagraphFont"/>
    <w:uiPriority w:val="22"/>
    <w:qFormat/>
    <w:rsid w:val="005B2C05"/>
    <w:rPr>
      <w:b/>
      <w:bCs/>
    </w:rPr>
  </w:style>
  <w:style w:type="character" w:styleId="Emphasis">
    <w:name w:val="Emphasis"/>
    <w:basedOn w:val="DefaultParagraphFont"/>
    <w:uiPriority w:val="20"/>
    <w:qFormat/>
    <w:rsid w:val="005B2C05"/>
    <w:rPr>
      <w:i/>
      <w:iCs/>
    </w:rPr>
  </w:style>
  <w:style w:type="paragraph" w:styleId="BalloonText">
    <w:name w:val="Balloon Text"/>
    <w:basedOn w:val="Normal"/>
    <w:link w:val="BalloonTextChar"/>
    <w:uiPriority w:val="99"/>
    <w:semiHidden/>
    <w:unhideWhenUsed/>
    <w:rsid w:val="005B2C0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B2C05"/>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2C05"/>
    <w:pPr>
      <w:spacing w:before="100" w:beforeAutospacing="1" w:after="100" w:afterAutospacing="1" w:line="240" w:lineRule="auto"/>
    </w:pPr>
    <w:rPr>
      <w:rFonts w:ascii="Tahoma" w:eastAsia="Times New Roman" w:hAnsi="Tahoma" w:cs="Tahoma"/>
      <w:sz w:val="24"/>
      <w:szCs w:val="24"/>
    </w:rPr>
  </w:style>
  <w:style w:type="character" w:customStyle="1" w:styleId="apple-converted-space">
    <w:name w:val="apple-converted-space"/>
    <w:basedOn w:val="DefaultParagraphFont"/>
    <w:rsid w:val="005B2C05"/>
  </w:style>
  <w:style w:type="character" w:styleId="Hyperlink">
    <w:name w:val="Hyperlink"/>
    <w:basedOn w:val="DefaultParagraphFont"/>
    <w:uiPriority w:val="99"/>
    <w:semiHidden/>
    <w:unhideWhenUsed/>
    <w:rsid w:val="005B2C05"/>
    <w:rPr>
      <w:color w:val="0000FF"/>
      <w:u w:val="single"/>
    </w:rPr>
  </w:style>
  <w:style w:type="character" w:styleId="Strong">
    <w:name w:val="Strong"/>
    <w:basedOn w:val="DefaultParagraphFont"/>
    <w:uiPriority w:val="22"/>
    <w:qFormat/>
    <w:rsid w:val="005B2C05"/>
    <w:rPr>
      <w:b/>
      <w:bCs/>
    </w:rPr>
  </w:style>
  <w:style w:type="character" w:styleId="Emphasis">
    <w:name w:val="Emphasis"/>
    <w:basedOn w:val="DefaultParagraphFont"/>
    <w:uiPriority w:val="20"/>
    <w:qFormat/>
    <w:rsid w:val="005B2C05"/>
    <w:rPr>
      <w:i/>
      <w:iCs/>
    </w:rPr>
  </w:style>
  <w:style w:type="paragraph" w:styleId="BalloonText">
    <w:name w:val="Balloon Text"/>
    <w:basedOn w:val="Normal"/>
    <w:link w:val="BalloonTextChar"/>
    <w:uiPriority w:val="99"/>
    <w:semiHidden/>
    <w:unhideWhenUsed/>
    <w:rsid w:val="005B2C0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B2C05"/>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747105">
      <w:bodyDiv w:val="1"/>
      <w:marLeft w:val="0"/>
      <w:marRight w:val="0"/>
      <w:marTop w:val="0"/>
      <w:marBottom w:val="0"/>
      <w:divBdr>
        <w:top w:val="none" w:sz="0" w:space="0" w:color="auto"/>
        <w:left w:val="none" w:sz="0" w:space="0" w:color="auto"/>
        <w:bottom w:val="none" w:sz="0" w:space="0" w:color="auto"/>
        <w:right w:val="none" w:sz="0" w:space="0" w:color="auto"/>
      </w:divBdr>
    </w:div>
    <w:div w:id="201622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arp.org/" TargetMode="External"/><Relationship Id="rId11" Type="http://schemas.openxmlformats.org/officeDocument/2006/relationships/fontTable" Target="fontTable.xml"/><Relationship Id="rId5" Type="http://schemas.openxmlformats.org/officeDocument/2006/relationships/hyperlink" Target="http://www.eba.europa.eu/-/eba-publishes-2016-eu-wide-stress-test-results"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1235</Words>
  <Characters>7040</Characters>
  <Application>Microsoft Office Word</Application>
  <DocSecurity>0</DocSecurity>
  <Lines>58</Lines>
  <Paragraphs>16</Paragraphs>
  <ScaleCrop>false</ScaleCrop>
  <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ณัฐนันท์ บวรสันติสุทธิ์</dc:creator>
  <cp:lastModifiedBy>ณัฐนันท์ บวรสันติสุทธิ์</cp:lastModifiedBy>
  <cp:revision>1</cp:revision>
  <dcterms:created xsi:type="dcterms:W3CDTF">2016-10-11T09:48:00Z</dcterms:created>
  <dcterms:modified xsi:type="dcterms:W3CDTF">2016-10-11T09:49:00Z</dcterms:modified>
</cp:coreProperties>
</file>